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14:ligatures w14:val="none"/>
        </w:rPr>
      </w:pPr>
      <w:r>
        <w:rPr/>
        <w:t>Adelaide sleep database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  <w14:ligatures w14:val="none"/>
        </w:rPr>
      </w:pP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Ben Brandwood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1,*</w:t>
      </w: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, Ganesh R. Naik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2,3,4,*</w:t>
      </w: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, Paul P. Breen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1,5,6</w:t>
      </w: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, Upul Gunawardana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4</w:t>
      </w: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, Danny J. Eckert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3,7</w:t>
      </w:r>
      <w:r>
        <w:rPr>
          <w:rFonts w:eastAsia="Calibri" w:cs="Times New Roman" w:ascii="Times New Roman" w:hAnsi="Times New Roman"/>
          <w:bCs/>
          <w:position w:val="0"/>
          <w:sz w:val="24"/>
          <w:szCs w:val="24"/>
          <w:vertAlign w:val="baseline"/>
          <w:lang w:eastAsia="en-US"/>
          <w14:ligatures w14:val="none"/>
        </w:rPr>
        <w:t xml:space="preserve"> </w:t>
      </w: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 xml:space="preserve">and Gaetano D. Gargiulo </w:t>
      </w:r>
      <w:r>
        <w:rPr>
          <w:rFonts w:eastAsia="Calibri" w:cs="Times New Roman" w:ascii="Times New Roman" w:hAnsi="Times New Roman"/>
          <w:bCs/>
          <w:sz w:val="24"/>
          <w:szCs w:val="24"/>
          <w:vertAlign w:val="superscript"/>
          <w:lang w:eastAsia="en-US"/>
          <w14:ligatures w14:val="none"/>
        </w:rPr>
        <w:t>1,4,6</w:t>
      </w:r>
    </w:p>
    <w:p>
      <w:pPr>
        <w:pStyle w:val="Normal"/>
        <w:widowControl/>
        <w:suppressAutoHyphens w:val="true"/>
        <w:bidi w:val="0"/>
        <w:spacing w:lineRule="auto" w:line="360" w:beforeAutospacing="0" w:before="0" w:afterAutospacing="0" w:after="0"/>
        <w:ind w:hanging="0" w:left="680" w:right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1</w:t>
        <w:tab/>
        <w:t>The MARCS Institute, Western Sydney University, Westmead, NSW 2145, Australia; p.breen@westernsydney.edu.au (P.P.B.); g.gargiulo@westernsydney.edu.au (G.D.G.)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2</w:t>
        <w:tab/>
        <w:t>School of Technology, Torrens University, Adelaide, SA 5000, Australia</w:t>
      </w:r>
    </w:p>
    <w:p>
      <w:pPr>
        <w:pStyle w:val="Normal"/>
        <w:widowControl/>
        <w:suppressAutoHyphens w:val="true"/>
        <w:bidi w:val="0"/>
        <w:spacing w:lineRule="auto" w:line="360" w:beforeAutospacing="0" w:before="0" w:afterAutospacing="0" w:after="0"/>
        <w:ind w:hanging="0" w:left="680" w:right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3</w:t>
        <w:tab/>
        <w:t xml:space="preserve">Adelaide Institute for Sleep Health and Flinders Health and Medical Research Institute, College of Medicine and Public Health, Flinders University, Bedford Park, Adelaide, SA 5042, Australia; </w:t>
      </w:r>
    </w:p>
    <w:p>
      <w:pPr>
        <w:pStyle w:val="Normal"/>
        <w:widowControl/>
        <w:suppressAutoHyphens w:val="true"/>
        <w:bidi w:val="0"/>
        <w:spacing w:lineRule="auto" w:line="360" w:beforeAutospacing="0" w:before="0" w:afterAutospacing="0" w:after="0"/>
        <w:ind w:hanging="0" w:left="680" w:right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danny.eckert@flinders.edu.au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4</w:t>
        <w:tab/>
        <w:t xml:space="preserve">School of Engineering, Western Sydney University, Penrith, NSW 2751, Australia; </w:t>
      </w:r>
    </w:p>
    <w:p>
      <w:pPr>
        <w:pStyle w:val="Normal"/>
        <w:widowControl/>
        <w:suppressAutoHyphens w:val="true"/>
        <w:bidi w:val="0"/>
        <w:spacing w:lineRule="auto" w:line="360" w:beforeAutospacing="0" w:before="0" w:afterAutospacing="0" w:after="0"/>
        <w:ind w:hanging="0" w:left="680" w:right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u.gunawardana@westernsydney.edu.au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5</w:t>
        <w:tab/>
        <w:t>Translational Research Health Institute, Westmead, NSW 2145, Australia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6</w:t>
        <w:tab/>
        <w:t>The Ingham Institute for Medical Research, Liverpool, NSW 2170, Australia</w:t>
      </w:r>
    </w:p>
    <w:p>
      <w:pPr>
        <w:pStyle w:val="Normal"/>
        <w:widowControl/>
        <w:suppressAutoHyphens w:val="true"/>
        <w:bidi w:val="0"/>
        <w:spacing w:lineRule="auto" w:line="360" w:beforeAutospacing="0" w:before="0" w:afterAutospacing="0" w:after="0"/>
        <w:ind w:hanging="0" w:left="680" w:right="0"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bCs/>
          <w:sz w:val="24"/>
          <w:szCs w:val="24"/>
          <w:lang w:eastAsia="en-US"/>
          <w14:ligatures w14:val="none"/>
        </w:rPr>
        <w:t>7</w:t>
        <w:tab/>
        <w:t>Neuroscience Research Australia, Randwick, NSW, Australia</w:t>
        <w:br/>
        <w:t>*</w:t>
        <w:tab/>
        <w:t>Correspondence: b.brandwood@westernsydney.edu.au (B.B.); ganesh.naik@torrens.edu.au (G.R.N.)</w:t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  <w:t xml:space="preserve">We present a dataset from a wearable sensor capable of monitoring respiration, electrocardiography (one lead), body position/actigraphy, and skin temperature suitable for sleep studies. The dataset has been validated by a simultaneously standard polysomnogram. Data were collected from 7 volunteers (mean age 55.71 years old and BMI  29.89) for 62.94 hours undergoing sleep studies at the Flinders University Sleep Lab. </w:t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  <w:t>Seven people (all male) with previously diagnosed sleep apnoea (via overnight polysomnography) volunteered to wear the ASPEN wearable device during a research polysomnography study. Inclusion criteria were: i)18–70 yr, ii) apnoea-hypopnea index (AHI) &gt; 10 events/hr-sleep. Exclusion criteria were: i) cardiovascular disease, ii) neurological disorder, iii) pregnant or breastfeeding (women only). This study was approved by the Flinders University Ethical Committee (Project number: 4291).</w:t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  <w:t>Data are acquired via a bespoke ASPEN Garment with embedded sensors mated to control electronics enclosed in a custom 3D printed enclosure (ASPEN Box). The ASPEN Box electronics saves data locally (to a removable SD-card) encoded with a binary format and simultaneously transmits these data in real-time to a smartphone app that allows real-time data visualization. Bluetooth wireless communications is enabled by an Innocom BM10_AN BLE built around the Texas Instruments CC2640R2F.</w:t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  <w:t>No annotations are provided. Polysomnogram recordings (Compumedics) are not provided.</w:t>
      </w:r>
    </w:p>
    <w:p>
      <w:pPr>
        <w:pStyle w:val="Normal"/>
        <w:spacing w:lineRule="auto" w:line="360" w:before="0" w:after="0"/>
        <w:ind w:hanging="0" w:left="0" w:right="0"/>
        <w:jc w:val="both"/>
        <w:rPr>
          <w14:ligatures w14:val="none"/>
        </w:rPr>
      </w:pPr>
      <w:r>
        <w:rPr>
          <w14:ligatures w14:val="none"/>
        </w:rPr>
      </w:r>
    </w:p>
    <w:p>
      <w:pPr>
        <w:pStyle w:val="Normal"/>
        <w:spacing w:before="0" w:after="200"/>
        <w:rPr>
          <w14:ligatures w14:val="none"/>
        </w:rPr>
      </w:pPr>
      <w:r>
        <w:rPr/>
        <w:b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>
    <w:name w:val="Heading 1 Char"/>
    <w:basedOn w:val="DefaultParagraphFont"/>
    <w:link w:val="Heading1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link w:val="Heading2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link w:val="Heading3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link w:val="Heading4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link w:val="Heading5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link w:val="Heading6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link w:val="Heading7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link w:val="Heading8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link w:val="Heading9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link w:val="Title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link w:val="Subtitle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link w:val="Header"/>
    <w:uiPriority w:val="99"/>
    <w:qFormat/>
    <w:rPr/>
  </w:style>
  <w:style w:type="character" w:styleId="FooterChar">
    <w:name w:val="Footer Char"/>
    <w:basedOn w:val="DefaultParagraphFont"/>
    <w:link w:val="Footer"/>
    <w:uiPriority w:val="99"/>
    <w:qFormat/>
    <w:rPr/>
  </w:style>
  <w:style w:type="character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link w:val="EndnoteText"/>
    <w:uiPriority w:val="99"/>
    <w:semiHidden/>
    <w:qFormat/>
    <w:rPr>
      <w:sz w:val="20"/>
      <w:szCs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Charactersuser">
    <w:name w:val="Endnote Characters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11">
    <w:name w:val="Table Grid"/>
    <w:basedOn w:val="66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">
    <w:name w:val="Table Grid Light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">
    <w:name w:val="Plain Table 1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4">
    <w:name w:val="Plain Table 2"/>
    <w:basedOn w:val="66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5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6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7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8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9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0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1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2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3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4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5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6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7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8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9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0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1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2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3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4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5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6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7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8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9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0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1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2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3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4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5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6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7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1" w:themeFillTint="75"/>
      </w:tcPr>
    </w:tblStylePr>
    <w:tblStylePr w:type="band1Vert">
      <w:tblPr/>
      <w:tcPr>
        <w:shd w:val="clear" w:color="FFFFFF" w:fill="B4D1EC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8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9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0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1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5" w:themeFillTint="7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2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3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00000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00000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text1" w:themeTint="80" w:themeShade="95"/>
      </w:rPr>
      <w:tblPr/>
    </w:tblStylePr>
    <w:tblStylePr w:type="firstRow">
      <w:rPr>
        <w:b/>
        <w:color w:val="000000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000000" w:themeColor="text1" w:themeTint="80" w:themeShade="95"/>
      </w:rPr>
      <w:tblPr/>
    </w:tblStylePr>
    <w:tblStylePr w:type="lastRow">
      <w:rPr>
        <w:b/>
        <w:color w:val="000000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text1" w:themeTint="80" w:themeShade="95"/>
        <w:sz w:val="22"/>
      </w:rPr>
      <w:tblPr/>
    </w:tblStylePr>
  </w:style>
  <w:style w:type="table" w:styleId="54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000000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val="000000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1" w:themeTint="80" w:themeShade="95"/>
      </w:rPr>
      <w:tblPr/>
    </w:tblStylePr>
    <w:tblStylePr w:type="firstRow">
      <w:rPr>
        <w:b/>
        <w:color w:val="000000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000000" w:themeColor="accent1" w:themeTint="80" w:themeShade="95"/>
      </w:rPr>
      <w:tblPr/>
    </w:tblStylePr>
    <w:tblStylePr w:type="lastRow">
      <w:rPr>
        <w:b/>
        <w:color w:val="000000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1" w:themeTint="80" w:themeShade="95"/>
        <w:sz w:val="22"/>
      </w:rPr>
      <w:tblPr/>
    </w:tblStylePr>
  </w:style>
  <w:style w:type="table" w:styleId="55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00000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00000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2" w:themeTint="97" w:themeShade="95"/>
      </w:rPr>
      <w:tblPr/>
    </w:tblStylePr>
    <w:tblStylePr w:type="firstRow">
      <w:rPr>
        <w:b/>
        <w:color w:val="000000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000000" w:themeColor="accent2" w:themeTint="97" w:themeShade="95"/>
      </w:rPr>
      <w:tblPr/>
    </w:tblStylePr>
    <w:tblStylePr w:type="lastRow">
      <w:rPr>
        <w:b/>
        <w:color w:val="000000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2" w:themeTint="97" w:themeShade="95"/>
        <w:sz w:val="22"/>
      </w:rPr>
      <w:tblPr/>
    </w:tblStylePr>
  </w:style>
  <w:style w:type="table" w:styleId="56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00000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000000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3" w:themeTint="fe" w:themeShade="95"/>
      </w:rPr>
      <w:tblPr/>
    </w:tblStylePr>
    <w:tblStylePr w:type="firstRow">
      <w:rPr>
        <w:b/>
        <w:color w:val="00000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000000" w:themeColor="accent3" w:themeTint="fe" w:themeShade="95"/>
      </w:rPr>
      <w:tblPr/>
    </w:tblStylePr>
    <w:tblStylePr w:type="lastRow">
      <w:rPr>
        <w:b/>
        <w:color w:val="000000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3" w:themeTint="fe" w:themeShade="95"/>
        <w:sz w:val="22"/>
      </w:rPr>
      <w:tblPr/>
    </w:tblStylePr>
  </w:style>
  <w:style w:type="table" w:styleId="57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0000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00000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4" w:themeTint="9a" w:themeShade="95"/>
      </w:rPr>
      <w:tblPr/>
    </w:tblStylePr>
    <w:tblStylePr w:type="firstRow">
      <w:rPr>
        <w:b/>
        <w:color w:val="0000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000000" w:themeColor="accent4" w:themeTint="9a" w:themeShade="95"/>
      </w:rPr>
      <w:tblPr/>
    </w:tblStylePr>
    <w:tblStylePr w:type="lastRow">
      <w:rPr>
        <w:b/>
        <w:color w:val="000000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4" w:themeTint="9a" w:themeShade="95"/>
        <w:sz w:val="22"/>
      </w:rPr>
      <w:tblPr/>
    </w:tblStylePr>
  </w:style>
  <w:style w:type="table" w:styleId="58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000000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val="00000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5" w:themeShade="95"/>
      </w:rPr>
      <w:tblPr/>
    </w:tblStylePr>
    <w:tblStylePr w:type="firstRow">
      <w:rPr>
        <w:b/>
        <w:color w:val="000000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000000" w:themeColor="accent5" w:themeShade="95"/>
      </w:rPr>
      <w:tblPr/>
    </w:tblStylePr>
    <w:tblStylePr w:type="lastRow">
      <w:rPr>
        <w:b/>
        <w:color w:val="000000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5" w:themeShade="95"/>
        <w:sz w:val="22"/>
      </w:rPr>
      <w:tblPr/>
    </w:tblStylePr>
  </w:style>
  <w:style w:type="table" w:styleId="59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00000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00000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5" w:themeShade="95"/>
      </w:rPr>
      <w:tblPr/>
    </w:tblStylePr>
    <w:tblStylePr w:type="firstRow">
      <w:rPr>
        <w:b/>
        <w:color w:val="000000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000000" w:themeColor="accent5" w:themeShade="95"/>
      </w:rPr>
      <w:tblPr/>
    </w:tblStylePr>
    <w:tblStylePr w:type="lastRow">
      <w:rPr>
        <w:b/>
        <w:color w:val="000000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5" w:themeShade="95"/>
        <w:sz w:val="22"/>
      </w:rPr>
      <w:tblPr/>
    </w:tblStylePr>
  </w:style>
  <w:style w:type="table" w:styleId="60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000000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000000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000000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1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000000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val="000000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000000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2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00000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000000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000000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3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00000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000000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000000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4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0000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0000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0000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5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000000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val="000000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000000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6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000000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000000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000000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000000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7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8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96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97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98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99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100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101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000000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000000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light1"/>
        <w:sz w:val="22"/>
      </w:rPr>
      <w:tblPr/>
    </w:tblStylePr>
  </w:style>
  <w:style w:type="table" w:styleId="102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000000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val="000000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1" w:themeShade="95"/>
      </w:rPr>
      <w:tblPr/>
    </w:tblStylePr>
    <w:tblStylePr w:type="firstRow">
      <w:rPr>
        <w:b/>
        <w:color w:val="000000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00000" w:themeColor="accent1" w:themeShade="95"/>
      </w:rPr>
      <w:tblPr/>
    </w:tblStylePr>
    <w:tblStylePr w:type="lastRow">
      <w:rPr>
        <w:b/>
        <w:color w:val="000000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00000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00000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2" w:themeTint="97" w:themeShade="95"/>
      </w:rPr>
      <w:tblPr/>
    </w:tblStylePr>
    <w:tblStylePr w:type="firstRow">
      <w:rPr>
        <w:b/>
        <w:color w:val="000000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000000" w:themeColor="accent2" w:themeTint="97" w:themeShade="95"/>
      </w:rPr>
      <w:tblPr/>
    </w:tblStylePr>
    <w:tblStylePr w:type="lastRow">
      <w:rPr>
        <w:b/>
        <w:color w:val="000000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00000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000000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3" w:themeTint="98" w:themeShade="95"/>
      </w:rPr>
      <w:tblPr/>
    </w:tblStylePr>
    <w:tblStylePr w:type="firstRow">
      <w:rPr>
        <w:b/>
        <w:color w:val="000000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000000" w:themeColor="accent3" w:themeTint="98" w:themeShade="95"/>
      </w:rPr>
      <w:tblPr/>
    </w:tblStylePr>
    <w:tblStylePr w:type="lastRow">
      <w:rPr>
        <w:b/>
        <w:color w:val="000000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0000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00000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4" w:themeTint="9a" w:themeShade="95"/>
      </w:rPr>
      <w:tblPr/>
    </w:tblStylePr>
    <w:tblStylePr w:type="firstRow">
      <w:rPr>
        <w:b/>
        <w:color w:val="0000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000000" w:themeColor="accent4" w:themeTint="9a" w:themeShade="95"/>
      </w:rPr>
      <w:tblPr/>
    </w:tblStylePr>
    <w:tblStylePr w:type="lastRow">
      <w:rPr>
        <w:b/>
        <w:color w:val="0000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00000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val="000000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5" w:themeTint="9a" w:themeShade="95"/>
      </w:rPr>
      <w:tblPr/>
    </w:tblStylePr>
    <w:tblStylePr w:type="firstRow">
      <w:rPr>
        <w:b/>
        <w:color w:val="00000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000000" w:themeColor="accent5" w:themeTint="9a" w:themeShade="95"/>
      </w:rPr>
      <w:tblPr/>
    </w:tblStylePr>
    <w:tblStylePr w:type="lastRow">
      <w:rPr>
        <w:b/>
        <w:color w:val="00000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00000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00000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000000" w:themeColor="accent6" w:themeTint="98" w:themeShade="95"/>
      </w:rPr>
      <w:tblPr/>
    </w:tblStylePr>
    <w:tblStylePr w:type="firstRow">
      <w:rPr>
        <w:b/>
        <w:color w:val="000000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000000" w:themeColor="accent6" w:themeTint="98" w:themeShade="95"/>
      </w:rPr>
      <w:tblPr/>
    </w:tblStylePr>
    <w:tblStylePr w:type="lastRow">
      <w:rPr>
        <w:b/>
        <w:color w:val="000000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000000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000000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000000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text1" w:themeTint="80" w:themeShade="95"/>
        <w:sz w:val="22"/>
      </w:rPr>
      <w:tblPr/>
    </w:tblStylePr>
  </w:style>
  <w:style w:type="table" w:styleId="110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000000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val="000000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000000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1" w:themeShade="95"/>
        <w:sz w:val="22"/>
      </w:rPr>
      <w:tblPr/>
    </w:tblStylePr>
  </w:style>
  <w:style w:type="table" w:styleId="111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00000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000000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000000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2" w:themeTint="97" w:themeShade="95"/>
        <w:sz w:val="22"/>
      </w:rPr>
      <w:tblPr/>
    </w:tblStylePr>
  </w:style>
  <w:style w:type="table" w:styleId="112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00000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000000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000000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3" w:themeTint="98" w:themeShade="95"/>
        <w:sz w:val="22"/>
      </w:rPr>
      <w:tblPr/>
    </w:tblStylePr>
  </w:style>
  <w:style w:type="table" w:styleId="113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0000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0000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0000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4" w:themeTint="9a" w:themeShade="95"/>
        <w:sz w:val="22"/>
      </w:rPr>
      <w:tblPr/>
    </w:tblStylePr>
  </w:style>
  <w:style w:type="table" w:styleId="114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00000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val="000000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00000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5" w:themeTint="9a" w:themeShade="95"/>
        <w:sz w:val="22"/>
      </w:rPr>
      <w:tblPr/>
    </w:tblStylePr>
  </w:style>
  <w:style w:type="table" w:styleId="115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00000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000000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000000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000000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000000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000000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000000" w:themeColor="accent6" w:themeTint="98" w:themeShade="95"/>
        <w:sz w:val="22"/>
      </w:rPr>
      <w:tblPr/>
    </w:tblStylePr>
  </w:style>
  <w:style w:type="table" w:styleId="116">
    <w:name w:val="Lined - Accen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7">
    <w:name w:val="Lined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8">
    <w:name w:val="Lined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9">
    <w:name w:val="Lined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0">
    <w:name w:val="Lined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1">
    <w:name w:val="Lined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2">
    <w:name w:val="Lined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3">
    <w:name w:val="Bordered &amp; Lined - Accen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4">
    <w:name w:val="Bordered &amp; Lin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5">
    <w:name w:val="Bordered &amp; Lin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6">
    <w:name w:val="Bordered &amp; Lin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7">
    <w:name w:val="Bordered &amp; Lin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8">
    <w:name w:val="Bordered &amp; Lin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9">
    <w:name w:val="Bordered &amp; Lin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0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1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2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3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4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5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6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66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LibreOffice/26.2.5.2$Linux_X86_64 LibreOffice_project/620$Build-2</Application>
  <AppVersion>15.0000</AppVersion>
  <Pages>2</Pages>
  <Words>331</Words>
  <Characters>2184</Characters>
  <CharactersWithSpaces>2504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en-AU</dc:language>
  <cp:lastModifiedBy/>
  <dcterms:modified xsi:type="dcterms:W3CDTF">2026-09-02T11:22:10Z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